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28" w:rsidRPr="00A97563" w:rsidRDefault="00334828" w:rsidP="00334828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316798" w:rsidRDefault="00D128D9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>
        <w:rPr>
          <w:rFonts w:ascii="Calibri" w:eastAsia="Times New Roman" w:hAnsi="Calibri" w:cs="Verdana"/>
          <w:b/>
          <w:color w:val="000000"/>
          <w:lang w:eastAsia="pl-PL"/>
        </w:rPr>
        <w:t>Nr postępowania: 29/</w:t>
      </w:r>
      <w:r w:rsidR="00D71AA7">
        <w:rPr>
          <w:b/>
        </w:rPr>
        <w:t xml:space="preserve">09/2018/WCH data: </w:t>
      </w:r>
      <w:r>
        <w:rPr>
          <w:b/>
        </w:rPr>
        <w:t>24</w:t>
      </w:r>
      <w:bookmarkStart w:id="0" w:name="_GoBack"/>
      <w:bookmarkEnd w:id="0"/>
      <w:r w:rsidR="00F06111" w:rsidRPr="00F06111">
        <w:rPr>
          <w:b/>
        </w:rPr>
        <w:t>.</w:t>
      </w:r>
      <w:r w:rsidR="00334828">
        <w:rPr>
          <w:b/>
        </w:rPr>
        <w:t>09.2018 r.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D71AA7" w:rsidRDefault="00334828" w:rsidP="00D71AA7">
      <w:pPr>
        <w:spacing w:before="33" w:after="0" w:line="240" w:lineRule="auto"/>
        <w:rPr>
          <w:rFonts w:asciiTheme="majorHAnsi" w:eastAsia="Arial" w:hAnsiTheme="majorHAnsi" w:cstheme="majorHAnsi"/>
          <w:b/>
        </w:rPr>
      </w:pPr>
      <w:r w:rsidRPr="00D71AA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</w:t>
      </w:r>
      <w:r w:rsidR="00D71AA7" w:rsidRPr="00D71AA7">
        <w:rPr>
          <w:rFonts w:asciiTheme="majorHAnsi" w:eastAsia="Arial" w:hAnsiTheme="majorHAnsi" w:cstheme="majorHAnsi"/>
          <w:b/>
        </w:rPr>
        <w:t>na</w:t>
      </w:r>
      <w:r w:rsidR="00D71AA7" w:rsidRPr="00D71AA7">
        <w:rPr>
          <w:rFonts w:asciiTheme="majorHAnsi" w:eastAsia="Arial" w:hAnsiTheme="majorHAnsi" w:cstheme="majorHAnsi"/>
          <w:b/>
          <w:spacing w:val="14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zakup</w:t>
      </w:r>
      <w:r w:rsidR="00D71AA7" w:rsidRPr="00D71AA7">
        <w:rPr>
          <w:rFonts w:asciiTheme="majorHAnsi" w:eastAsia="Arial" w:hAnsiTheme="majorHAnsi" w:cstheme="majorHAnsi"/>
          <w:b/>
          <w:spacing w:val="15"/>
        </w:rPr>
        <w:t xml:space="preserve"> i </w:t>
      </w:r>
      <w:r w:rsidR="00D71AA7" w:rsidRPr="00D71AA7">
        <w:rPr>
          <w:rFonts w:asciiTheme="majorHAnsi" w:eastAsia="Arial" w:hAnsiTheme="majorHAnsi" w:cstheme="majorHAnsi"/>
          <w:b/>
          <w:w w:val="106"/>
        </w:rPr>
        <w:t>sukcesywne</w:t>
      </w:r>
      <w:r w:rsidR="00D71AA7" w:rsidRPr="00D71AA7">
        <w:rPr>
          <w:rFonts w:asciiTheme="majorHAnsi" w:eastAsia="Arial" w:hAnsiTheme="majorHAnsi" w:cstheme="majorHAnsi"/>
          <w:b/>
          <w:spacing w:val="-11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12"/>
        </w:rPr>
        <w:t>dostawy</w:t>
      </w:r>
      <w:r w:rsidR="00D71AA7" w:rsidRPr="00D71AA7">
        <w:rPr>
          <w:rFonts w:asciiTheme="majorHAnsi" w:eastAsia="Arial" w:hAnsiTheme="majorHAnsi" w:cstheme="majorHAnsi"/>
          <w:b/>
          <w:spacing w:val="-27"/>
          <w:w w:val="112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12"/>
        </w:rPr>
        <w:t>artykułów</w:t>
      </w:r>
      <w:r w:rsidR="00D71AA7" w:rsidRPr="00D71AA7">
        <w:rPr>
          <w:rFonts w:asciiTheme="majorHAnsi" w:eastAsia="Arial" w:hAnsiTheme="majorHAnsi" w:cstheme="majorHAnsi"/>
          <w:b/>
          <w:spacing w:val="8"/>
          <w:w w:val="112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spożywczych</w:t>
      </w:r>
      <w:r w:rsidR="00D71AA7" w:rsidRPr="00D71AA7">
        <w:rPr>
          <w:rFonts w:asciiTheme="majorHAnsi" w:eastAsia="Arial" w:hAnsiTheme="majorHAnsi" w:cstheme="majorHAnsi"/>
          <w:b/>
          <w:spacing w:val="45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oraz</w:t>
      </w:r>
      <w:r w:rsidR="00D71AA7" w:rsidRPr="00D71AA7">
        <w:rPr>
          <w:rFonts w:asciiTheme="majorHAnsi" w:eastAsia="Arial" w:hAnsiTheme="majorHAnsi" w:cstheme="majorHAnsi"/>
          <w:b/>
          <w:spacing w:val="15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11"/>
        </w:rPr>
        <w:t>artykułów</w:t>
      </w:r>
      <w:r w:rsidR="00D71AA7" w:rsidRPr="00D71AA7">
        <w:rPr>
          <w:rFonts w:asciiTheme="majorHAnsi" w:eastAsia="Arial" w:hAnsiTheme="majorHAnsi" w:cstheme="majorHAnsi"/>
          <w:b/>
          <w:spacing w:val="14"/>
          <w:w w:val="111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11"/>
        </w:rPr>
        <w:t>jednokrotnego</w:t>
      </w:r>
      <w:r w:rsidR="00D71AA7" w:rsidRPr="00D71AA7">
        <w:rPr>
          <w:rFonts w:asciiTheme="majorHAnsi" w:eastAsia="Arial" w:hAnsiTheme="majorHAnsi" w:cstheme="majorHAnsi"/>
          <w:b/>
          <w:spacing w:val="-24"/>
          <w:w w:val="111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użytku</w:t>
      </w:r>
      <w:r w:rsidR="00D71AA7" w:rsidRPr="00D71AA7">
        <w:rPr>
          <w:rFonts w:asciiTheme="majorHAnsi" w:eastAsia="Arial" w:hAnsiTheme="majorHAnsi" w:cstheme="majorHAnsi"/>
          <w:b/>
          <w:spacing w:val="48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 xml:space="preserve">na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potrzeby</w:t>
      </w:r>
      <w:r w:rsidR="00D71AA7" w:rsidRPr="00D71AA7">
        <w:rPr>
          <w:rFonts w:asciiTheme="majorHAnsi" w:eastAsia="Arial" w:hAnsiTheme="majorHAnsi" w:cstheme="majorHAnsi"/>
          <w:b/>
          <w:spacing w:val="-15"/>
          <w:w w:val="109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realizacj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warsztatów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62"/>
        </w:rPr>
        <w:t>i</w:t>
      </w:r>
      <w:r w:rsidR="00D71AA7" w:rsidRPr="00D71AA7">
        <w:rPr>
          <w:rFonts w:asciiTheme="majorHAnsi" w:eastAsia="Arial" w:hAnsiTheme="majorHAnsi" w:cstheme="majorHAnsi"/>
          <w:b/>
          <w:spacing w:val="-25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>szkoleń w ramach projektu „Gotowi do zmian II” finansowanego z Państwowego Funduszu Rehab</w:t>
      </w:r>
      <w:r w:rsidR="00D71AA7">
        <w:rPr>
          <w:rFonts w:asciiTheme="majorHAnsi" w:eastAsia="Arial" w:hAnsiTheme="majorHAnsi" w:cstheme="majorHAnsi"/>
          <w:b/>
          <w:w w:val="105"/>
        </w:rPr>
        <w:t>ilitacji Osób Niepełnosprawnych,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>dostawę artykułów spożywczych</w:t>
      </w:r>
      <w:r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oraz artykułów jednokrotnego użytku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334828" w:rsidRPr="00173207" w:rsidRDefault="00334828" w:rsidP="00334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334828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334828" w:rsidRPr="00173207" w:rsidRDefault="00334828" w:rsidP="00334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</w:t>
      </w:r>
      <w:r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p w:rsidR="009D05DD" w:rsidRPr="00CC121F" w:rsidRDefault="009D05DD" w:rsidP="00CC121F"/>
    <w:sectPr w:rsidR="009D05DD" w:rsidRPr="00CC121F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B4" w:rsidRDefault="00253FB4" w:rsidP="0096319C">
      <w:pPr>
        <w:spacing w:after="0" w:line="240" w:lineRule="auto"/>
      </w:pPr>
      <w:r>
        <w:separator/>
      </w:r>
    </w:p>
  </w:endnote>
  <w:endnote w:type="continuationSeparator" w:id="0">
    <w:p w:rsidR="00253FB4" w:rsidRDefault="00253FB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B4" w:rsidRDefault="00253FB4" w:rsidP="0096319C">
      <w:pPr>
        <w:spacing w:after="0" w:line="240" w:lineRule="auto"/>
      </w:pPr>
      <w:r>
        <w:separator/>
      </w:r>
    </w:p>
  </w:footnote>
  <w:footnote w:type="continuationSeparator" w:id="0">
    <w:p w:rsidR="00253FB4" w:rsidRDefault="00253FB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3FB4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4828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128D9"/>
    <w:rsid w:val="00D213E6"/>
    <w:rsid w:val="00D40814"/>
    <w:rsid w:val="00D71AA7"/>
    <w:rsid w:val="00DA5789"/>
    <w:rsid w:val="00DB0869"/>
    <w:rsid w:val="00DB7A21"/>
    <w:rsid w:val="00DD75C9"/>
    <w:rsid w:val="00DE76E6"/>
    <w:rsid w:val="00E2088F"/>
    <w:rsid w:val="00E21C7D"/>
    <w:rsid w:val="00E22714"/>
    <w:rsid w:val="00E358B5"/>
    <w:rsid w:val="00E4248E"/>
    <w:rsid w:val="00E45A26"/>
    <w:rsid w:val="00E9304B"/>
    <w:rsid w:val="00EA7030"/>
    <w:rsid w:val="00F06111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2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F9A1-4ED2-4B9D-93F5-01A2D2CD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5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2017-01-25T12:25:00Z</cp:lastPrinted>
  <dcterms:created xsi:type="dcterms:W3CDTF">2018-08-31T09:31:00Z</dcterms:created>
  <dcterms:modified xsi:type="dcterms:W3CDTF">2018-09-24T04:59:00Z</dcterms:modified>
</cp:coreProperties>
</file>